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064" w:rsidRPr="00597064" w:rsidRDefault="00597064" w:rsidP="00597064">
      <w:pPr>
        <w:pStyle w:val="Kopfzeile"/>
        <w:rPr>
          <w:b/>
          <w:sz w:val="22"/>
          <w:szCs w:val="22"/>
        </w:rPr>
      </w:pPr>
      <w:r w:rsidRPr="00597064">
        <w:rPr>
          <w:b/>
          <w:sz w:val="22"/>
          <w:szCs w:val="22"/>
        </w:rPr>
        <w:t>Nachsorgeschema nach Nadelstich-Verletzung (Stand 15.01.2018)</w:t>
      </w:r>
    </w:p>
    <w:p w:rsidR="00597064" w:rsidRDefault="00597064" w:rsidP="00F13E2F">
      <w:pPr>
        <w:spacing w:after="120" w:line="240" w:lineRule="exact"/>
        <w:rPr>
          <w:rFonts w:cs="Arial"/>
          <w:b/>
          <w:sz w:val="18"/>
          <w:szCs w:val="18"/>
        </w:rPr>
      </w:pPr>
    </w:p>
    <w:p w:rsidR="00F13E2F" w:rsidRPr="00D00D79" w:rsidRDefault="00F13E2F" w:rsidP="00F13E2F">
      <w:pPr>
        <w:spacing w:after="120" w:line="240" w:lineRule="exact"/>
        <w:rPr>
          <w:rFonts w:cs="Arial"/>
          <w:sz w:val="18"/>
          <w:szCs w:val="18"/>
        </w:rPr>
      </w:pPr>
      <w:r w:rsidRPr="00D00D79">
        <w:rPr>
          <w:rFonts w:cs="Arial"/>
          <w:b/>
          <w:sz w:val="18"/>
          <w:szCs w:val="18"/>
        </w:rPr>
        <w:t>Verletzte Person:</w:t>
      </w:r>
      <w:r w:rsidRPr="00D00D79">
        <w:rPr>
          <w:rFonts w:cs="Arial"/>
          <w:sz w:val="18"/>
          <w:szCs w:val="18"/>
        </w:rPr>
        <w:t xml:space="preserve"> Laboruntersuchungen, ggf. HIV-PEP und HB-Impfung: nach individueller Risikoabschätzung, Aufklärung und informiertem Einverständnis der verletzten Person</w:t>
      </w:r>
    </w:p>
    <w:tbl>
      <w:tblPr>
        <w:tblW w:w="0" w:type="auto"/>
        <w:tblBorders>
          <w:left w:val="single" w:sz="4" w:space="0" w:color="auto"/>
          <w:bottom w:val="single" w:sz="12" w:space="0" w:color="004994"/>
          <w:right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026"/>
        <w:gridCol w:w="2535"/>
        <w:gridCol w:w="2211"/>
        <w:gridCol w:w="2294"/>
      </w:tblGrid>
      <w:tr w:rsidR="00F13E2F" w:rsidRPr="00F844C6" w:rsidTr="00F13E2F">
        <w:tc>
          <w:tcPr>
            <w:tcW w:w="2093"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F13E2F" w:rsidRPr="00F844C6" w:rsidRDefault="00F13E2F" w:rsidP="00E24251">
            <w:pPr>
              <w:spacing w:after="80"/>
              <w:rPr>
                <w:rFonts w:cs="Arial"/>
                <w:b/>
                <w:sz w:val="18"/>
                <w:szCs w:val="18"/>
              </w:rPr>
            </w:pPr>
            <w:r>
              <w:rPr>
                <w:rFonts w:cs="Arial"/>
                <w:b/>
                <w:sz w:val="18"/>
                <w:szCs w:val="18"/>
              </w:rPr>
              <w:t>Screening der verletzten Person</w:t>
            </w:r>
          </w:p>
        </w:tc>
        <w:tc>
          <w:tcPr>
            <w:tcW w:w="411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F13E2F" w:rsidRPr="00F844C6" w:rsidRDefault="00F13E2F" w:rsidP="00E24251">
            <w:pPr>
              <w:spacing w:after="80"/>
              <w:rPr>
                <w:rFonts w:cs="Arial"/>
                <w:szCs w:val="20"/>
              </w:rPr>
            </w:pPr>
            <w:r>
              <w:rPr>
                <w:rFonts w:cs="Arial"/>
                <w:b/>
                <w:szCs w:val="20"/>
              </w:rPr>
              <w:t>HBV</w:t>
            </w:r>
          </w:p>
        </w:tc>
        <w:tc>
          <w:tcPr>
            <w:tcW w:w="411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F13E2F" w:rsidRPr="00F844C6" w:rsidRDefault="00F13E2F" w:rsidP="00E24251">
            <w:pPr>
              <w:spacing w:after="80"/>
              <w:rPr>
                <w:rFonts w:cs="Arial"/>
                <w:szCs w:val="20"/>
              </w:rPr>
            </w:pPr>
            <w:r>
              <w:rPr>
                <w:rFonts w:cs="Arial"/>
                <w:b/>
                <w:szCs w:val="20"/>
              </w:rPr>
              <w:t>HCV</w:t>
            </w:r>
          </w:p>
        </w:tc>
        <w:tc>
          <w:tcPr>
            <w:tcW w:w="4112"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F13E2F" w:rsidRPr="00F844C6" w:rsidRDefault="00F13E2F" w:rsidP="00E24251">
            <w:pPr>
              <w:spacing w:after="80"/>
              <w:rPr>
                <w:rFonts w:cs="Arial"/>
                <w:szCs w:val="20"/>
              </w:rPr>
            </w:pPr>
            <w:r w:rsidRPr="00F844C6">
              <w:rPr>
                <w:rFonts w:cs="Arial"/>
                <w:b/>
                <w:szCs w:val="20"/>
              </w:rPr>
              <w:t>HIV</w:t>
            </w:r>
          </w:p>
        </w:tc>
      </w:tr>
      <w:tr w:rsidR="00F13E2F" w:rsidRPr="00F844C6" w:rsidTr="00597064">
        <w:tc>
          <w:tcPr>
            <w:tcW w:w="2093" w:type="dxa"/>
            <w:tcBorders>
              <w:top w:val="single" w:sz="2" w:space="0" w:color="auto"/>
              <w:left w:val="single" w:sz="2" w:space="0" w:color="auto"/>
              <w:bottom w:val="single" w:sz="2" w:space="0" w:color="auto"/>
              <w:right w:val="single" w:sz="2" w:space="0" w:color="auto"/>
            </w:tcBorders>
            <w:shd w:val="clear" w:color="auto" w:fill="auto"/>
          </w:tcPr>
          <w:p w:rsidR="00F13E2F" w:rsidRPr="00F844C6" w:rsidRDefault="00F13E2F" w:rsidP="00E24251">
            <w:pPr>
              <w:spacing w:after="80" w:line="240" w:lineRule="exact"/>
              <w:rPr>
                <w:rFonts w:cs="Arial"/>
                <w:b/>
                <w:sz w:val="18"/>
                <w:szCs w:val="18"/>
              </w:rPr>
            </w:pPr>
            <w:r w:rsidRPr="00F844C6">
              <w:rPr>
                <w:rFonts w:cs="Arial"/>
                <w:b/>
                <w:sz w:val="18"/>
                <w:szCs w:val="18"/>
              </w:rPr>
              <w:t>S</w:t>
            </w:r>
            <w:r>
              <w:rPr>
                <w:rFonts w:cs="Arial"/>
                <w:b/>
                <w:sz w:val="18"/>
                <w:szCs w:val="18"/>
              </w:rPr>
              <w:t>ofort nach Übertragungsereignis</w:t>
            </w:r>
          </w:p>
        </w:tc>
        <w:tc>
          <w:tcPr>
            <w:tcW w:w="4111" w:type="dxa"/>
            <w:tcBorders>
              <w:top w:val="single" w:sz="2" w:space="0" w:color="auto"/>
              <w:left w:val="single" w:sz="2" w:space="0" w:color="auto"/>
              <w:bottom w:val="single" w:sz="2" w:space="0" w:color="auto"/>
              <w:right w:val="single" w:sz="2" w:space="0" w:color="auto"/>
            </w:tcBorders>
            <w:shd w:val="clear" w:color="auto" w:fill="auto"/>
          </w:tcPr>
          <w:p w:rsidR="00F13E2F" w:rsidRPr="00F844C6" w:rsidRDefault="00F13E2F" w:rsidP="00E24251">
            <w:pPr>
              <w:autoSpaceDE w:val="0"/>
              <w:autoSpaceDN w:val="0"/>
              <w:adjustRightInd w:val="0"/>
              <w:spacing w:line="240" w:lineRule="exact"/>
              <w:jc w:val="both"/>
              <w:rPr>
                <w:rFonts w:cs="Arial"/>
                <w:sz w:val="16"/>
                <w:szCs w:val="16"/>
              </w:rPr>
            </w:pPr>
            <w:r w:rsidRPr="00F844C6">
              <w:rPr>
                <w:rFonts w:cs="Arial"/>
                <w:b/>
                <w:sz w:val="16"/>
                <w:szCs w:val="16"/>
              </w:rPr>
              <w:t>Anti-HBc und Anti-HBs</w:t>
            </w:r>
            <w:r w:rsidRPr="00F844C6">
              <w:rPr>
                <w:rFonts w:cs="Arial"/>
                <w:b/>
                <w:bCs/>
                <w:sz w:val="16"/>
                <w:szCs w:val="16"/>
              </w:rPr>
              <w:t xml:space="preserve"> </w:t>
            </w:r>
            <w:r w:rsidRPr="00F844C6">
              <w:rPr>
                <w:rFonts w:cs="Arial"/>
                <w:b/>
                <w:bCs/>
                <w:sz w:val="16"/>
                <w:szCs w:val="16"/>
                <w:u w:val="single"/>
              </w:rPr>
              <w:t>nur</w:t>
            </w:r>
            <w:r w:rsidRPr="00F844C6">
              <w:rPr>
                <w:rFonts w:cs="Arial"/>
                <w:sz w:val="16"/>
                <w:szCs w:val="16"/>
                <w:u w:val="single"/>
              </w:rPr>
              <w:t xml:space="preserve"> </w:t>
            </w:r>
            <w:r>
              <w:rPr>
                <w:rFonts w:cs="Arial"/>
                <w:sz w:val="16"/>
                <w:szCs w:val="16"/>
              </w:rPr>
              <w:t xml:space="preserve">erforderlich bei </w:t>
            </w:r>
            <w:r w:rsidRPr="00F844C6">
              <w:rPr>
                <w:rFonts w:cs="Arial"/>
                <w:b/>
                <w:sz w:val="16"/>
                <w:szCs w:val="16"/>
              </w:rPr>
              <w:t>unsicherer</w:t>
            </w:r>
            <w:r w:rsidRPr="00F844C6">
              <w:rPr>
                <w:rFonts w:cs="Arial"/>
                <w:sz w:val="16"/>
                <w:szCs w:val="16"/>
              </w:rPr>
              <w:t xml:space="preserve"> Immunität (Anti-HBs-Titer nie oder zuletzt vor mehr als 10 Jahren ≥ 100 IU/L).</w:t>
            </w:r>
          </w:p>
          <w:p w:rsidR="00F13E2F" w:rsidRPr="00F844C6" w:rsidRDefault="00F13E2F" w:rsidP="00E24251">
            <w:pPr>
              <w:spacing w:line="240" w:lineRule="exact"/>
              <w:jc w:val="both"/>
              <w:rPr>
                <w:rFonts w:cs="Arial"/>
                <w:sz w:val="16"/>
                <w:szCs w:val="16"/>
              </w:rPr>
            </w:pPr>
            <w:r w:rsidRPr="00F844C6">
              <w:rPr>
                <w:rFonts w:cs="Arial"/>
                <w:sz w:val="16"/>
                <w:szCs w:val="16"/>
              </w:rPr>
              <w:t xml:space="preserve">Bei </w:t>
            </w:r>
            <w:r w:rsidRPr="00F844C6">
              <w:rPr>
                <w:rFonts w:cs="Arial"/>
                <w:b/>
                <w:sz w:val="16"/>
                <w:szCs w:val="16"/>
              </w:rPr>
              <w:t>unsicherer Immunität</w:t>
            </w:r>
            <w:r w:rsidRPr="00F844C6">
              <w:rPr>
                <w:rFonts w:cs="Arial"/>
                <w:sz w:val="16"/>
                <w:szCs w:val="16"/>
              </w:rPr>
              <w:t xml:space="preserve"> </w:t>
            </w:r>
            <w:r w:rsidRPr="00F844C6">
              <w:rPr>
                <w:rFonts w:cs="Arial"/>
                <w:b/>
                <w:sz w:val="16"/>
                <w:szCs w:val="16"/>
              </w:rPr>
              <w:t>und</w:t>
            </w:r>
            <w:r>
              <w:rPr>
                <w:rFonts w:cs="Arial"/>
                <w:b/>
                <w:sz w:val="16"/>
                <w:szCs w:val="16"/>
              </w:rPr>
              <w:t xml:space="preserve"> potentiell</w:t>
            </w:r>
            <w:r w:rsidRPr="00F844C6">
              <w:rPr>
                <w:rFonts w:cs="Arial"/>
                <w:b/>
                <w:sz w:val="16"/>
                <w:szCs w:val="16"/>
              </w:rPr>
              <w:t xml:space="preserve"> infektiöser </w:t>
            </w:r>
            <w:r>
              <w:rPr>
                <w:rFonts w:cs="Arial"/>
                <w:b/>
                <w:sz w:val="16"/>
                <w:szCs w:val="16"/>
              </w:rPr>
              <w:t xml:space="preserve">bzw. unbekannter </w:t>
            </w:r>
            <w:r w:rsidRPr="00F844C6">
              <w:rPr>
                <w:rFonts w:cs="Arial"/>
                <w:b/>
                <w:sz w:val="16"/>
                <w:szCs w:val="16"/>
              </w:rPr>
              <w:t>Indexperson</w:t>
            </w:r>
            <w:r w:rsidRPr="00F844C6">
              <w:rPr>
                <w:rFonts w:cs="Arial"/>
                <w:sz w:val="16"/>
                <w:szCs w:val="16"/>
              </w:rPr>
              <w:t>: postexpositionelle Maßnahmen nach aktuellen STIKO-Empfehlungen (Impfstoff- und ggf. Immunglobulingabe</w:t>
            </w:r>
            <w:r>
              <w:rPr>
                <w:rFonts w:cs="Arial"/>
                <w:sz w:val="16"/>
                <w:szCs w:val="16"/>
              </w:rPr>
              <w:t>)</w:t>
            </w:r>
            <w:r w:rsidRPr="00F844C6">
              <w:rPr>
                <w:rFonts w:cs="Arial"/>
                <w:sz w:val="16"/>
                <w:szCs w:val="16"/>
              </w:rPr>
              <w:t xml:space="preserve"> </w:t>
            </w:r>
          </w:p>
        </w:tc>
        <w:tc>
          <w:tcPr>
            <w:tcW w:w="4111" w:type="dxa"/>
            <w:tcBorders>
              <w:top w:val="single" w:sz="2" w:space="0" w:color="auto"/>
              <w:left w:val="single" w:sz="2" w:space="0" w:color="auto"/>
              <w:bottom w:val="single" w:sz="2" w:space="0" w:color="auto"/>
              <w:right w:val="single" w:sz="2" w:space="0" w:color="auto"/>
            </w:tcBorders>
            <w:shd w:val="clear" w:color="auto" w:fill="auto"/>
          </w:tcPr>
          <w:p w:rsidR="00F13E2F" w:rsidRPr="00F844C6" w:rsidRDefault="00F13E2F" w:rsidP="00E24251">
            <w:pPr>
              <w:spacing w:after="80" w:line="240" w:lineRule="exact"/>
              <w:rPr>
                <w:rFonts w:cs="Arial"/>
                <w:b/>
                <w:sz w:val="18"/>
                <w:szCs w:val="18"/>
              </w:rPr>
            </w:pPr>
            <w:r w:rsidRPr="001903B3">
              <w:rPr>
                <w:rFonts w:cs="Arial"/>
                <w:b/>
                <w:sz w:val="16"/>
                <w:szCs w:val="16"/>
              </w:rPr>
              <w:t>Anti-HCV</w:t>
            </w:r>
          </w:p>
        </w:tc>
        <w:tc>
          <w:tcPr>
            <w:tcW w:w="4112" w:type="dxa"/>
            <w:tcBorders>
              <w:top w:val="single" w:sz="2" w:space="0" w:color="auto"/>
              <w:left w:val="single" w:sz="2" w:space="0" w:color="auto"/>
              <w:bottom w:val="single" w:sz="2" w:space="0" w:color="auto"/>
              <w:right w:val="single" w:sz="2" w:space="0" w:color="auto"/>
            </w:tcBorders>
            <w:shd w:val="clear" w:color="auto" w:fill="auto"/>
          </w:tcPr>
          <w:p w:rsidR="00F13E2F" w:rsidRPr="008810EE" w:rsidRDefault="00F13E2F" w:rsidP="00E24251">
            <w:pPr>
              <w:spacing w:after="80" w:line="240" w:lineRule="exact"/>
              <w:rPr>
                <w:rFonts w:cs="Arial"/>
                <w:sz w:val="16"/>
                <w:szCs w:val="16"/>
              </w:rPr>
            </w:pPr>
            <w:r w:rsidRPr="006471D0">
              <w:rPr>
                <w:rFonts w:cs="Arial"/>
                <w:b/>
                <w:sz w:val="16"/>
                <w:szCs w:val="18"/>
              </w:rPr>
              <w:t>HIV-Screeningtest 4. Gen</w:t>
            </w:r>
            <w:r>
              <w:rPr>
                <w:rFonts w:cs="Arial"/>
                <w:sz w:val="16"/>
                <w:szCs w:val="16"/>
              </w:rPr>
              <w:t>.,</w:t>
            </w:r>
          </w:p>
          <w:p w:rsidR="00F13E2F" w:rsidRPr="00F844C6" w:rsidRDefault="00F13E2F" w:rsidP="00E24251">
            <w:pPr>
              <w:spacing w:after="80" w:line="240" w:lineRule="exact"/>
              <w:jc w:val="both"/>
              <w:rPr>
                <w:rFonts w:cs="Arial"/>
                <w:sz w:val="16"/>
                <w:szCs w:val="16"/>
              </w:rPr>
            </w:pPr>
            <w:r>
              <w:rPr>
                <w:rFonts w:cs="Arial"/>
                <w:sz w:val="16"/>
                <w:szCs w:val="16"/>
              </w:rPr>
              <w:t>b</w:t>
            </w:r>
            <w:r w:rsidRPr="00F844C6">
              <w:rPr>
                <w:rFonts w:cs="Arial"/>
                <w:sz w:val="16"/>
                <w:szCs w:val="16"/>
              </w:rPr>
              <w:t xml:space="preserve">ei </w:t>
            </w:r>
            <w:r>
              <w:rPr>
                <w:rFonts w:cs="Arial"/>
                <w:sz w:val="16"/>
                <w:szCs w:val="16"/>
              </w:rPr>
              <w:t>HIV-</w:t>
            </w:r>
            <w:r w:rsidRPr="00F844C6">
              <w:rPr>
                <w:rFonts w:cs="Arial"/>
                <w:sz w:val="16"/>
                <w:szCs w:val="16"/>
              </w:rPr>
              <w:t>positiver Indexperson</w:t>
            </w:r>
            <w:r>
              <w:rPr>
                <w:rFonts w:cs="Arial"/>
                <w:sz w:val="16"/>
                <w:szCs w:val="16"/>
              </w:rPr>
              <w:t xml:space="preserve"> </w:t>
            </w:r>
            <w:r w:rsidRPr="00783F84">
              <w:rPr>
                <w:rFonts w:cs="Arial"/>
                <w:sz w:val="16"/>
                <w:szCs w:val="16"/>
              </w:rPr>
              <w:t>oder bei Risikofaktoren: zügig Indikation zur HIV-PEP</w:t>
            </w:r>
            <w:r>
              <w:rPr>
                <w:rFonts w:cs="Arial"/>
                <w:sz w:val="16"/>
                <w:szCs w:val="16"/>
              </w:rPr>
              <w:t xml:space="preserve"> prüfen</w:t>
            </w:r>
          </w:p>
        </w:tc>
      </w:tr>
      <w:tr w:rsidR="00F13E2F" w:rsidRPr="00F844C6" w:rsidTr="00597064">
        <w:tc>
          <w:tcPr>
            <w:tcW w:w="2093"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F13E2F" w:rsidRPr="00F844C6" w:rsidRDefault="00F13E2F" w:rsidP="00E24251">
            <w:pPr>
              <w:spacing w:after="80" w:line="240" w:lineRule="exact"/>
              <w:rPr>
                <w:rFonts w:cs="Arial"/>
                <w:b/>
                <w:sz w:val="18"/>
                <w:szCs w:val="18"/>
              </w:rPr>
            </w:pPr>
            <w:r w:rsidRPr="00F844C6">
              <w:rPr>
                <w:rFonts w:cs="Arial"/>
                <w:b/>
                <w:sz w:val="18"/>
                <w:szCs w:val="18"/>
              </w:rPr>
              <w:t>Nach 6 Wochen</w:t>
            </w:r>
          </w:p>
        </w:tc>
        <w:tc>
          <w:tcPr>
            <w:tcW w:w="411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F13E2F" w:rsidRPr="00F844C6" w:rsidRDefault="00F13E2F" w:rsidP="00E24251">
            <w:pPr>
              <w:spacing w:line="240" w:lineRule="exact"/>
              <w:ind w:left="-51"/>
              <w:jc w:val="both"/>
              <w:rPr>
                <w:rFonts w:cs="Arial"/>
                <w:sz w:val="16"/>
                <w:szCs w:val="16"/>
              </w:rPr>
            </w:pPr>
            <w:r w:rsidRPr="00F844C6">
              <w:rPr>
                <w:rFonts w:cs="Arial"/>
                <w:b/>
                <w:sz w:val="16"/>
                <w:szCs w:val="16"/>
              </w:rPr>
              <w:t>Anti-HBs nach Booster-Impfung</w:t>
            </w:r>
            <w:r>
              <w:rPr>
                <w:rFonts w:cs="Arial"/>
                <w:sz w:val="16"/>
                <w:szCs w:val="16"/>
              </w:rPr>
              <w:t xml:space="preserve"> bei der ersten </w:t>
            </w:r>
            <w:r w:rsidRPr="00F844C6">
              <w:rPr>
                <w:rFonts w:cs="Arial"/>
                <w:sz w:val="16"/>
                <w:szCs w:val="16"/>
              </w:rPr>
              <w:t>Untersuc</w:t>
            </w:r>
            <w:r>
              <w:rPr>
                <w:rFonts w:cs="Arial"/>
                <w:sz w:val="16"/>
                <w:szCs w:val="16"/>
              </w:rPr>
              <w:t xml:space="preserve">hung: Wenn Anti-HBs ≥ 100 IU/L ansteigen, entfallen weitere Tests. </w:t>
            </w:r>
          </w:p>
          <w:p w:rsidR="00F13E2F" w:rsidRPr="00F844C6" w:rsidRDefault="00F13E2F" w:rsidP="00E24251">
            <w:pPr>
              <w:spacing w:line="240" w:lineRule="exact"/>
              <w:ind w:left="-51"/>
              <w:jc w:val="both"/>
              <w:rPr>
                <w:rFonts w:cs="Arial"/>
                <w:sz w:val="16"/>
                <w:szCs w:val="16"/>
              </w:rPr>
            </w:pPr>
            <w:r w:rsidRPr="00F844C6">
              <w:rPr>
                <w:rFonts w:cs="Arial"/>
                <w:b/>
                <w:sz w:val="16"/>
                <w:szCs w:val="16"/>
              </w:rPr>
              <w:t xml:space="preserve">Bei unsicherer Immunität: </w:t>
            </w:r>
            <w:r>
              <w:rPr>
                <w:rFonts w:cs="Arial"/>
                <w:b/>
                <w:sz w:val="16"/>
                <w:szCs w:val="16"/>
              </w:rPr>
              <w:t xml:space="preserve">HBsAg und </w:t>
            </w:r>
            <w:r w:rsidRPr="00F844C6">
              <w:rPr>
                <w:rFonts w:cs="Arial"/>
                <w:b/>
                <w:sz w:val="16"/>
                <w:szCs w:val="16"/>
              </w:rPr>
              <w:t>Anti-HBc</w:t>
            </w:r>
            <w:r>
              <w:rPr>
                <w:rFonts w:cs="Arial"/>
                <w:sz w:val="16"/>
                <w:szCs w:val="16"/>
              </w:rPr>
              <w:t xml:space="preserve"> als frühe</w:t>
            </w:r>
            <w:r w:rsidRPr="00F844C6">
              <w:rPr>
                <w:rFonts w:cs="Arial"/>
                <w:sz w:val="16"/>
                <w:szCs w:val="16"/>
              </w:rPr>
              <w:t xml:space="preserve"> Parameter einer HBV-Infektion</w:t>
            </w:r>
          </w:p>
        </w:tc>
        <w:tc>
          <w:tcPr>
            <w:tcW w:w="411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F13E2F" w:rsidRPr="008810EE" w:rsidRDefault="00F13E2F" w:rsidP="00E24251">
            <w:pPr>
              <w:spacing w:after="80" w:line="240" w:lineRule="exact"/>
              <w:rPr>
                <w:rFonts w:cs="Arial"/>
                <w:b/>
                <w:sz w:val="16"/>
                <w:szCs w:val="16"/>
              </w:rPr>
            </w:pPr>
            <w:r w:rsidRPr="00F844C6">
              <w:rPr>
                <w:rFonts w:cs="Arial"/>
                <w:b/>
                <w:sz w:val="16"/>
                <w:szCs w:val="16"/>
              </w:rPr>
              <w:t>Anti-HCV</w:t>
            </w:r>
          </w:p>
          <w:p w:rsidR="00F13E2F" w:rsidRPr="00F844C6" w:rsidRDefault="00F13E2F" w:rsidP="00E24251">
            <w:pPr>
              <w:spacing w:after="80" w:line="240" w:lineRule="exact"/>
              <w:rPr>
                <w:rFonts w:cs="Arial"/>
                <w:sz w:val="16"/>
                <w:szCs w:val="16"/>
              </w:rPr>
            </w:pPr>
            <w:r w:rsidRPr="00F844C6">
              <w:rPr>
                <w:rFonts w:cs="Arial"/>
                <w:sz w:val="16"/>
                <w:szCs w:val="16"/>
              </w:rPr>
              <w:t xml:space="preserve">Bei erhöhtem </w:t>
            </w:r>
            <w:r>
              <w:rPr>
                <w:rFonts w:cs="Arial"/>
                <w:sz w:val="16"/>
                <w:szCs w:val="16"/>
              </w:rPr>
              <w:t xml:space="preserve">Risiko, </w:t>
            </w:r>
            <w:r w:rsidRPr="00F844C6">
              <w:rPr>
                <w:rFonts w:cs="Arial"/>
                <w:sz w:val="16"/>
                <w:szCs w:val="16"/>
              </w:rPr>
              <w:t>HCV-infektiöser oder unbekannte</w:t>
            </w:r>
            <w:r>
              <w:rPr>
                <w:rFonts w:cs="Arial"/>
                <w:sz w:val="16"/>
                <w:szCs w:val="16"/>
              </w:rPr>
              <w:t xml:space="preserve">r </w:t>
            </w:r>
            <w:r w:rsidRPr="00F844C6">
              <w:rPr>
                <w:rFonts w:cs="Arial"/>
                <w:sz w:val="16"/>
                <w:szCs w:val="16"/>
              </w:rPr>
              <w:t>Indexperson: HCV</w:t>
            </w:r>
            <w:r>
              <w:rPr>
                <w:rFonts w:cs="Arial"/>
                <w:sz w:val="16"/>
                <w:szCs w:val="16"/>
              </w:rPr>
              <w:t>-NAT</w:t>
            </w:r>
          </w:p>
        </w:tc>
        <w:tc>
          <w:tcPr>
            <w:tcW w:w="411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F13E2F" w:rsidRDefault="00F13E2F" w:rsidP="00E24251">
            <w:pPr>
              <w:spacing w:line="240" w:lineRule="exact"/>
              <w:rPr>
                <w:rFonts w:cs="Arial"/>
                <w:b/>
                <w:sz w:val="16"/>
                <w:szCs w:val="16"/>
              </w:rPr>
            </w:pPr>
            <w:r w:rsidRPr="00F844C6">
              <w:rPr>
                <w:rFonts w:cs="Arial"/>
                <w:b/>
                <w:sz w:val="16"/>
                <w:szCs w:val="16"/>
              </w:rPr>
              <w:t>HIV-Screeningtest</w:t>
            </w:r>
            <w:r>
              <w:rPr>
                <w:rFonts w:cs="Arial"/>
                <w:b/>
                <w:sz w:val="16"/>
                <w:szCs w:val="16"/>
              </w:rPr>
              <w:t xml:space="preserve"> 4. Gen.,</w:t>
            </w:r>
          </w:p>
          <w:p w:rsidR="00F13E2F" w:rsidRPr="00F844C6" w:rsidRDefault="00F13E2F" w:rsidP="00E24251">
            <w:pPr>
              <w:spacing w:after="80" w:line="240" w:lineRule="exact"/>
              <w:rPr>
                <w:rFonts w:cs="Arial"/>
                <w:sz w:val="16"/>
                <w:szCs w:val="16"/>
              </w:rPr>
            </w:pPr>
            <w:r>
              <w:rPr>
                <w:rFonts w:cs="Arial"/>
                <w:sz w:val="16"/>
                <w:szCs w:val="16"/>
              </w:rPr>
              <w:t>b</w:t>
            </w:r>
            <w:r w:rsidRPr="00F844C6">
              <w:rPr>
                <w:rFonts w:cs="Arial"/>
                <w:sz w:val="16"/>
                <w:szCs w:val="16"/>
              </w:rPr>
              <w:t>ei HIV-PEP erst nach 10 Wochen</w:t>
            </w:r>
          </w:p>
        </w:tc>
      </w:tr>
      <w:tr w:rsidR="00F13E2F" w:rsidRPr="00F844C6" w:rsidTr="00597064">
        <w:tc>
          <w:tcPr>
            <w:tcW w:w="2093" w:type="dxa"/>
            <w:tcBorders>
              <w:top w:val="single" w:sz="2" w:space="0" w:color="auto"/>
              <w:bottom w:val="single" w:sz="2" w:space="0" w:color="auto"/>
            </w:tcBorders>
            <w:shd w:val="clear" w:color="auto" w:fill="auto"/>
          </w:tcPr>
          <w:p w:rsidR="00F13E2F" w:rsidRPr="00F844C6" w:rsidRDefault="00F13E2F" w:rsidP="00E24251">
            <w:pPr>
              <w:spacing w:after="80" w:line="240" w:lineRule="exact"/>
              <w:rPr>
                <w:rFonts w:cs="Arial"/>
                <w:b/>
                <w:sz w:val="18"/>
                <w:szCs w:val="18"/>
              </w:rPr>
            </w:pPr>
            <w:r w:rsidRPr="00F844C6">
              <w:rPr>
                <w:rFonts w:cs="Arial"/>
                <w:b/>
                <w:sz w:val="18"/>
                <w:szCs w:val="18"/>
              </w:rPr>
              <w:t>Nach 12 Wochen</w:t>
            </w:r>
          </w:p>
        </w:tc>
        <w:tc>
          <w:tcPr>
            <w:tcW w:w="4111" w:type="dxa"/>
            <w:tcBorders>
              <w:top w:val="single" w:sz="2" w:space="0" w:color="auto"/>
              <w:bottom w:val="single" w:sz="2" w:space="0" w:color="auto"/>
            </w:tcBorders>
            <w:shd w:val="clear" w:color="auto" w:fill="auto"/>
          </w:tcPr>
          <w:p w:rsidR="00F13E2F" w:rsidRPr="00F844C6" w:rsidRDefault="00F13E2F" w:rsidP="00E24251">
            <w:pPr>
              <w:spacing w:line="240" w:lineRule="exact"/>
              <w:rPr>
                <w:rFonts w:cs="Arial"/>
                <w:sz w:val="16"/>
                <w:szCs w:val="16"/>
              </w:rPr>
            </w:pPr>
            <w:r w:rsidRPr="00D82D37">
              <w:rPr>
                <w:rFonts w:cs="Arial"/>
                <w:b/>
                <w:sz w:val="16"/>
                <w:szCs w:val="16"/>
              </w:rPr>
              <w:t>Nur</w:t>
            </w:r>
            <w:r w:rsidRPr="008810EE">
              <w:rPr>
                <w:rFonts w:cs="Arial"/>
                <w:sz w:val="16"/>
                <w:szCs w:val="16"/>
              </w:rPr>
              <w:t xml:space="preserve"> bei unsicherer</w:t>
            </w:r>
            <w:r>
              <w:rPr>
                <w:rFonts w:cs="Arial"/>
                <w:sz w:val="16"/>
                <w:szCs w:val="16"/>
              </w:rPr>
              <w:t xml:space="preserve"> </w:t>
            </w:r>
            <w:r w:rsidRPr="008810EE">
              <w:rPr>
                <w:rFonts w:cs="Arial"/>
                <w:sz w:val="16"/>
                <w:szCs w:val="16"/>
              </w:rPr>
              <w:t>Immunität:</w:t>
            </w:r>
            <w:r w:rsidRPr="00F844C6">
              <w:rPr>
                <w:rFonts w:cs="Arial"/>
                <w:bCs/>
                <w:sz w:val="16"/>
                <w:szCs w:val="16"/>
              </w:rPr>
              <w:t xml:space="preserve"> </w:t>
            </w:r>
            <w:r w:rsidRPr="00F844C6">
              <w:rPr>
                <w:rFonts w:cs="Arial"/>
                <w:b/>
                <w:bCs/>
                <w:sz w:val="16"/>
                <w:szCs w:val="16"/>
              </w:rPr>
              <w:t>Anti-HBc</w:t>
            </w:r>
            <w:r w:rsidR="00677AC0">
              <w:rPr>
                <w:rFonts w:cs="Arial"/>
                <w:b/>
                <w:bCs/>
                <w:sz w:val="16"/>
                <w:szCs w:val="16"/>
              </w:rPr>
              <w:t xml:space="preserve"> und Anti-</w:t>
            </w:r>
            <w:r>
              <w:rPr>
                <w:rFonts w:cs="Arial"/>
                <w:b/>
                <w:bCs/>
                <w:sz w:val="16"/>
                <w:szCs w:val="16"/>
              </w:rPr>
              <w:t>HBs</w:t>
            </w:r>
          </w:p>
        </w:tc>
        <w:tc>
          <w:tcPr>
            <w:tcW w:w="4111" w:type="dxa"/>
            <w:tcBorders>
              <w:top w:val="single" w:sz="2" w:space="0" w:color="auto"/>
              <w:bottom w:val="single" w:sz="2" w:space="0" w:color="auto"/>
            </w:tcBorders>
            <w:shd w:val="clear" w:color="auto" w:fill="auto"/>
          </w:tcPr>
          <w:p w:rsidR="00F13E2F" w:rsidRPr="00F844C6" w:rsidRDefault="00F13E2F" w:rsidP="00E24251">
            <w:pPr>
              <w:spacing w:after="80" w:line="240" w:lineRule="exact"/>
              <w:rPr>
                <w:rFonts w:cs="Arial"/>
                <w:b/>
                <w:sz w:val="16"/>
                <w:szCs w:val="16"/>
              </w:rPr>
            </w:pPr>
            <w:r w:rsidRPr="00F844C6">
              <w:rPr>
                <w:rFonts w:cs="Arial"/>
                <w:b/>
                <w:sz w:val="16"/>
                <w:szCs w:val="16"/>
              </w:rPr>
              <w:t>Anti-HCV</w:t>
            </w:r>
          </w:p>
        </w:tc>
        <w:tc>
          <w:tcPr>
            <w:tcW w:w="4112" w:type="dxa"/>
            <w:tcBorders>
              <w:top w:val="single" w:sz="2" w:space="0" w:color="auto"/>
              <w:bottom w:val="single" w:sz="2" w:space="0" w:color="auto"/>
            </w:tcBorders>
            <w:shd w:val="clear" w:color="auto" w:fill="auto"/>
          </w:tcPr>
          <w:p w:rsidR="00F13E2F" w:rsidRPr="003E09C8" w:rsidRDefault="00F13E2F" w:rsidP="00E24251">
            <w:pPr>
              <w:spacing w:line="240" w:lineRule="exact"/>
              <w:rPr>
                <w:rFonts w:cs="Arial"/>
                <w:b/>
                <w:sz w:val="16"/>
                <w:szCs w:val="16"/>
              </w:rPr>
            </w:pPr>
            <w:r w:rsidRPr="003E09C8">
              <w:rPr>
                <w:rFonts w:cs="Arial"/>
                <w:b/>
                <w:sz w:val="16"/>
                <w:szCs w:val="16"/>
              </w:rPr>
              <w:t xml:space="preserve">HIV-Screeningtest 4. Gen., </w:t>
            </w:r>
          </w:p>
          <w:p w:rsidR="00F13E2F" w:rsidRPr="00F844C6" w:rsidRDefault="00F13E2F" w:rsidP="00E24251">
            <w:pPr>
              <w:spacing w:line="240" w:lineRule="exact"/>
              <w:jc w:val="both"/>
              <w:rPr>
                <w:rFonts w:cs="Arial"/>
                <w:sz w:val="16"/>
                <w:szCs w:val="16"/>
              </w:rPr>
            </w:pPr>
            <w:r w:rsidRPr="003E09C8">
              <w:rPr>
                <w:rFonts w:cs="Arial"/>
                <w:sz w:val="16"/>
                <w:szCs w:val="16"/>
              </w:rPr>
              <w:t>bei HIV-PEP erst nach 16 Wochen</w:t>
            </w:r>
          </w:p>
        </w:tc>
      </w:tr>
      <w:tr w:rsidR="00F13E2F" w:rsidRPr="00F844C6" w:rsidTr="00597064">
        <w:tc>
          <w:tcPr>
            <w:tcW w:w="2093"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F13E2F" w:rsidRPr="00F844C6" w:rsidRDefault="00F13E2F" w:rsidP="00E24251">
            <w:pPr>
              <w:spacing w:after="80"/>
              <w:rPr>
                <w:rFonts w:cs="Arial"/>
                <w:b/>
                <w:sz w:val="18"/>
                <w:szCs w:val="18"/>
              </w:rPr>
            </w:pPr>
            <w:r w:rsidRPr="00F844C6">
              <w:rPr>
                <w:rFonts w:cs="Arial"/>
                <w:b/>
                <w:sz w:val="18"/>
                <w:szCs w:val="18"/>
              </w:rPr>
              <w:t>Nach 6 Monaten</w:t>
            </w:r>
          </w:p>
        </w:tc>
        <w:tc>
          <w:tcPr>
            <w:tcW w:w="411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F13E2F" w:rsidRPr="00F844C6" w:rsidRDefault="00F13E2F" w:rsidP="00E24251">
            <w:pPr>
              <w:spacing w:line="240" w:lineRule="exact"/>
              <w:rPr>
                <w:rFonts w:cs="Arial"/>
                <w:sz w:val="16"/>
                <w:szCs w:val="16"/>
              </w:rPr>
            </w:pPr>
            <w:r w:rsidRPr="00D82D37">
              <w:rPr>
                <w:rFonts w:cs="Arial"/>
                <w:b/>
                <w:sz w:val="16"/>
                <w:szCs w:val="16"/>
              </w:rPr>
              <w:t>Nur</w:t>
            </w:r>
            <w:r w:rsidRPr="008810EE">
              <w:rPr>
                <w:rFonts w:cs="Arial"/>
                <w:sz w:val="16"/>
                <w:szCs w:val="16"/>
              </w:rPr>
              <w:t xml:space="preserve"> bei</w:t>
            </w:r>
            <w:r w:rsidRPr="00F844C6">
              <w:rPr>
                <w:rFonts w:cs="Arial"/>
                <w:sz w:val="16"/>
                <w:szCs w:val="16"/>
              </w:rPr>
              <w:t xml:space="preserve"> unsicherer Immunität: </w:t>
            </w:r>
            <w:r w:rsidRPr="00F844C6">
              <w:rPr>
                <w:rFonts w:cs="Arial"/>
                <w:b/>
                <w:sz w:val="16"/>
                <w:szCs w:val="16"/>
              </w:rPr>
              <w:t>Anti-HBc, Anti-HBs</w:t>
            </w:r>
          </w:p>
        </w:tc>
        <w:tc>
          <w:tcPr>
            <w:tcW w:w="411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F13E2F" w:rsidRPr="00F844C6" w:rsidRDefault="00F13E2F" w:rsidP="00E24251">
            <w:pPr>
              <w:spacing w:after="80"/>
              <w:rPr>
                <w:rFonts w:cs="Arial"/>
                <w:b/>
                <w:sz w:val="16"/>
                <w:szCs w:val="16"/>
              </w:rPr>
            </w:pPr>
            <w:r w:rsidRPr="00F844C6">
              <w:rPr>
                <w:rFonts w:cs="Arial"/>
                <w:b/>
                <w:sz w:val="16"/>
                <w:szCs w:val="16"/>
              </w:rPr>
              <w:t>Anti-HCV</w:t>
            </w:r>
          </w:p>
        </w:tc>
        <w:tc>
          <w:tcPr>
            <w:tcW w:w="411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F13E2F" w:rsidRPr="00F844C6" w:rsidRDefault="00F13E2F" w:rsidP="00E24251">
            <w:pPr>
              <w:spacing w:line="240" w:lineRule="exact"/>
              <w:rPr>
                <w:rFonts w:cs="Arial"/>
                <w:sz w:val="16"/>
                <w:szCs w:val="16"/>
              </w:rPr>
            </w:pPr>
            <w:r w:rsidRPr="00F844C6">
              <w:rPr>
                <w:rFonts w:cs="Arial"/>
                <w:sz w:val="16"/>
                <w:szCs w:val="16"/>
              </w:rPr>
              <w:t xml:space="preserve">Entfällt nach zwei negativen HIV-Screeningtests der </w:t>
            </w:r>
            <w:r>
              <w:rPr>
                <w:rFonts w:cs="Arial"/>
                <w:sz w:val="16"/>
                <w:szCs w:val="16"/>
              </w:rPr>
              <w:t>4. Gen.</w:t>
            </w:r>
            <w:r w:rsidRPr="00F844C6">
              <w:rPr>
                <w:rFonts w:cs="Arial"/>
                <w:sz w:val="16"/>
                <w:szCs w:val="16"/>
              </w:rPr>
              <w:t xml:space="preserve"> in der 6. </w:t>
            </w:r>
            <w:r>
              <w:rPr>
                <w:rFonts w:cs="Arial"/>
                <w:sz w:val="16"/>
                <w:szCs w:val="16"/>
              </w:rPr>
              <w:t>und 12. Woche (bzw. 10. und 16. Woche</w:t>
            </w:r>
            <w:r w:rsidRPr="00F844C6">
              <w:rPr>
                <w:rFonts w:cs="Arial"/>
                <w:sz w:val="16"/>
                <w:szCs w:val="16"/>
              </w:rPr>
              <w:t xml:space="preserve"> </w:t>
            </w:r>
            <w:r>
              <w:rPr>
                <w:rFonts w:cs="Arial"/>
                <w:sz w:val="16"/>
                <w:szCs w:val="16"/>
              </w:rPr>
              <w:t>nach vierwöchiger</w:t>
            </w:r>
            <w:r w:rsidRPr="00F844C6">
              <w:rPr>
                <w:rFonts w:cs="Arial"/>
                <w:sz w:val="16"/>
                <w:szCs w:val="16"/>
              </w:rPr>
              <w:t xml:space="preserve"> HIV-PEP</w:t>
            </w:r>
            <w:r>
              <w:rPr>
                <w:rFonts w:cs="Arial"/>
                <w:sz w:val="16"/>
                <w:szCs w:val="16"/>
              </w:rPr>
              <w:t>)</w:t>
            </w:r>
          </w:p>
        </w:tc>
      </w:tr>
    </w:tbl>
    <w:p w:rsidR="00716D93" w:rsidRDefault="00716D93"/>
    <w:p w:rsidR="00F13E2F" w:rsidRPr="00D00D79" w:rsidRDefault="00F13E2F" w:rsidP="00F13E2F">
      <w:pPr>
        <w:tabs>
          <w:tab w:val="left" w:pos="2093"/>
          <w:tab w:val="left" w:pos="6204"/>
          <w:tab w:val="left" w:pos="10315"/>
        </w:tabs>
        <w:spacing w:after="120" w:line="240" w:lineRule="exact"/>
        <w:rPr>
          <w:rFonts w:cs="Arial"/>
          <w:sz w:val="18"/>
          <w:szCs w:val="18"/>
        </w:rPr>
      </w:pPr>
      <w:r w:rsidRPr="00D00D79">
        <w:rPr>
          <w:rFonts w:cs="Arial"/>
          <w:b/>
          <w:sz w:val="18"/>
          <w:szCs w:val="18"/>
        </w:rPr>
        <w:t>Indexperson:</w:t>
      </w:r>
      <w:r w:rsidRPr="00D00D79">
        <w:rPr>
          <w:b/>
          <w:sz w:val="18"/>
          <w:szCs w:val="18"/>
        </w:rPr>
        <w:t xml:space="preserve"> </w:t>
      </w:r>
      <w:r w:rsidRPr="00D00D79">
        <w:rPr>
          <w:rFonts w:cs="Arial"/>
          <w:sz w:val="18"/>
          <w:szCs w:val="18"/>
        </w:rPr>
        <w:t xml:space="preserve">Sofern der aktuelle Infektionsstatus der Indexperson nicht bekannt ist, wird eine Untersuchung der Indexperson nach individueller Risikoabschätzung, Aufklärung und informiertem Einverständnis empfohlen. Die Untersuchung der Indexperson ist jedoch keinesfalls Voraussetzung zur Nachsorge bei der verletzten Person. </w:t>
      </w:r>
    </w:p>
    <w:tbl>
      <w:tblPr>
        <w:tblW w:w="0" w:type="auto"/>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092"/>
        <w:gridCol w:w="2529"/>
        <w:gridCol w:w="2268"/>
        <w:gridCol w:w="2317"/>
      </w:tblGrid>
      <w:tr w:rsidR="00597064" w:rsidRPr="00F844C6" w:rsidTr="00597064">
        <w:tc>
          <w:tcPr>
            <w:tcW w:w="2092" w:type="dxa"/>
            <w:tcBorders>
              <w:bottom w:val="single" w:sz="4" w:space="0" w:color="auto"/>
            </w:tcBorders>
            <w:shd w:val="clear" w:color="auto" w:fill="A6A6A6" w:themeFill="background1" w:themeFillShade="A6"/>
          </w:tcPr>
          <w:p w:rsidR="00F13E2F" w:rsidRPr="00F844C6" w:rsidRDefault="00F13E2F" w:rsidP="00E24251">
            <w:pPr>
              <w:spacing w:after="80"/>
              <w:rPr>
                <w:rFonts w:cs="Arial"/>
                <w:szCs w:val="20"/>
              </w:rPr>
            </w:pPr>
            <w:r w:rsidRPr="003D38F3">
              <w:rPr>
                <w:rFonts w:cs="Arial"/>
                <w:b/>
                <w:sz w:val="18"/>
                <w:szCs w:val="18"/>
              </w:rPr>
              <w:t>Screening der Indexperson</w:t>
            </w:r>
            <w:r>
              <w:rPr>
                <w:rFonts w:cs="Arial"/>
                <w:szCs w:val="20"/>
              </w:rPr>
              <w:t xml:space="preserve"> </w:t>
            </w:r>
          </w:p>
        </w:tc>
        <w:tc>
          <w:tcPr>
            <w:tcW w:w="2529" w:type="dxa"/>
            <w:tcBorders>
              <w:bottom w:val="single" w:sz="4" w:space="0" w:color="auto"/>
            </w:tcBorders>
            <w:shd w:val="clear" w:color="auto" w:fill="A6A6A6" w:themeFill="background1" w:themeFillShade="A6"/>
          </w:tcPr>
          <w:p w:rsidR="00F13E2F" w:rsidRPr="00F844C6" w:rsidRDefault="00F13E2F" w:rsidP="00E24251">
            <w:pPr>
              <w:spacing w:after="80"/>
              <w:rPr>
                <w:rFonts w:cs="Arial"/>
                <w:b/>
                <w:sz w:val="16"/>
                <w:szCs w:val="16"/>
              </w:rPr>
            </w:pPr>
            <w:r w:rsidRPr="00F844C6">
              <w:rPr>
                <w:rFonts w:cs="Arial"/>
                <w:b/>
                <w:szCs w:val="20"/>
              </w:rPr>
              <w:t>HB</w:t>
            </w:r>
            <w:r>
              <w:rPr>
                <w:rFonts w:cs="Arial"/>
                <w:b/>
                <w:szCs w:val="20"/>
              </w:rPr>
              <w:t>V</w:t>
            </w:r>
            <w:r w:rsidRPr="00F844C6">
              <w:rPr>
                <w:rFonts w:cs="Arial"/>
                <w:b/>
                <w:szCs w:val="20"/>
              </w:rPr>
              <w:t xml:space="preserve"> </w:t>
            </w:r>
            <w:r>
              <w:rPr>
                <w:rFonts w:cs="Arial"/>
                <w:b/>
                <w:szCs w:val="20"/>
              </w:rPr>
              <w:br/>
            </w:r>
          </w:p>
        </w:tc>
        <w:tc>
          <w:tcPr>
            <w:tcW w:w="2268" w:type="dxa"/>
            <w:tcBorders>
              <w:bottom w:val="single" w:sz="4" w:space="0" w:color="auto"/>
            </w:tcBorders>
            <w:shd w:val="clear" w:color="auto" w:fill="A6A6A6" w:themeFill="background1" w:themeFillShade="A6"/>
          </w:tcPr>
          <w:p w:rsidR="00F13E2F" w:rsidRPr="00D82D37" w:rsidRDefault="00F13E2F" w:rsidP="00E24251">
            <w:pPr>
              <w:spacing w:after="80"/>
              <w:rPr>
                <w:rFonts w:cs="Arial"/>
                <w:b/>
                <w:szCs w:val="20"/>
              </w:rPr>
            </w:pPr>
            <w:r>
              <w:rPr>
                <w:rFonts w:cs="Arial"/>
                <w:b/>
                <w:szCs w:val="20"/>
              </w:rPr>
              <w:t>HCV</w:t>
            </w:r>
          </w:p>
        </w:tc>
        <w:tc>
          <w:tcPr>
            <w:tcW w:w="2317" w:type="dxa"/>
            <w:tcBorders>
              <w:bottom w:val="single" w:sz="4" w:space="0" w:color="auto"/>
            </w:tcBorders>
            <w:shd w:val="clear" w:color="auto" w:fill="A6A6A6" w:themeFill="background1" w:themeFillShade="A6"/>
          </w:tcPr>
          <w:p w:rsidR="00F13E2F" w:rsidRPr="00F844C6" w:rsidRDefault="00F13E2F" w:rsidP="00E24251">
            <w:pPr>
              <w:spacing w:after="80"/>
              <w:rPr>
                <w:rFonts w:cs="Arial"/>
                <w:szCs w:val="20"/>
              </w:rPr>
            </w:pPr>
            <w:r w:rsidRPr="00F844C6">
              <w:rPr>
                <w:rFonts w:cs="Arial"/>
                <w:b/>
                <w:szCs w:val="20"/>
              </w:rPr>
              <w:t xml:space="preserve">HIV </w:t>
            </w:r>
            <w:r>
              <w:rPr>
                <w:rFonts w:cs="Arial"/>
                <w:b/>
                <w:szCs w:val="20"/>
              </w:rPr>
              <w:br/>
            </w:r>
          </w:p>
        </w:tc>
      </w:tr>
      <w:tr w:rsidR="00F13E2F" w:rsidRPr="00F844C6" w:rsidTr="00597064">
        <w:tc>
          <w:tcPr>
            <w:tcW w:w="2092" w:type="dxa"/>
            <w:tcBorders>
              <w:top w:val="single" w:sz="4" w:space="0" w:color="auto"/>
            </w:tcBorders>
            <w:shd w:val="clear" w:color="auto" w:fill="auto"/>
          </w:tcPr>
          <w:p w:rsidR="00F13E2F" w:rsidRPr="00F844C6" w:rsidRDefault="00F13E2F" w:rsidP="00E24251">
            <w:pPr>
              <w:spacing w:after="80" w:line="240" w:lineRule="exact"/>
              <w:rPr>
                <w:rFonts w:cs="Arial"/>
                <w:b/>
                <w:sz w:val="18"/>
                <w:szCs w:val="18"/>
              </w:rPr>
            </w:pPr>
            <w:r w:rsidRPr="00F844C6">
              <w:rPr>
                <w:rFonts w:cs="Arial"/>
                <w:b/>
                <w:sz w:val="18"/>
                <w:szCs w:val="18"/>
              </w:rPr>
              <w:t>Sofort nach dem Übertragungsereignis</w:t>
            </w:r>
          </w:p>
        </w:tc>
        <w:tc>
          <w:tcPr>
            <w:tcW w:w="2529" w:type="dxa"/>
            <w:tcBorders>
              <w:top w:val="single" w:sz="4" w:space="0" w:color="auto"/>
            </w:tcBorders>
            <w:shd w:val="clear" w:color="auto" w:fill="auto"/>
          </w:tcPr>
          <w:p w:rsidR="00F13E2F" w:rsidRPr="00230F80" w:rsidRDefault="00F13E2F" w:rsidP="00E24251">
            <w:pPr>
              <w:spacing w:after="80" w:line="240" w:lineRule="exact"/>
              <w:rPr>
                <w:rFonts w:cs="Arial"/>
                <w:sz w:val="16"/>
                <w:szCs w:val="16"/>
                <w:lang w:val="en-US"/>
              </w:rPr>
            </w:pPr>
            <w:r w:rsidRPr="00230F80">
              <w:rPr>
                <w:rFonts w:cs="Arial"/>
                <w:b/>
                <w:sz w:val="16"/>
                <w:szCs w:val="16"/>
                <w:lang w:val="en-US"/>
              </w:rPr>
              <w:t>HBsAg und Anti-HBc (Anti</w:t>
            </w:r>
            <w:r w:rsidR="00677AC0">
              <w:rPr>
                <w:rFonts w:cs="Arial"/>
                <w:b/>
                <w:sz w:val="16"/>
                <w:szCs w:val="16"/>
                <w:lang w:val="en-US"/>
              </w:rPr>
              <w:t>-</w:t>
            </w:r>
            <w:bookmarkStart w:id="0" w:name="_GoBack"/>
            <w:bookmarkEnd w:id="0"/>
            <w:r w:rsidRPr="00230F80">
              <w:rPr>
                <w:rFonts w:cs="Arial"/>
                <w:b/>
                <w:sz w:val="16"/>
                <w:szCs w:val="16"/>
                <w:lang w:val="en-US"/>
              </w:rPr>
              <w:t xml:space="preserve"> HBs)</w:t>
            </w:r>
            <w:r w:rsidRPr="00230F80">
              <w:rPr>
                <w:rFonts w:cs="Arial"/>
                <w:sz w:val="16"/>
                <w:szCs w:val="16"/>
                <w:lang w:val="en-US"/>
              </w:rPr>
              <w:t xml:space="preserve"> </w:t>
            </w:r>
          </w:p>
          <w:p w:rsidR="00F13E2F" w:rsidRPr="00F844C6" w:rsidRDefault="00F13E2F" w:rsidP="00E24251">
            <w:pPr>
              <w:spacing w:before="80" w:after="80" w:line="240" w:lineRule="exact"/>
              <w:jc w:val="both"/>
              <w:rPr>
                <w:rFonts w:cs="Arial"/>
                <w:sz w:val="16"/>
                <w:szCs w:val="16"/>
              </w:rPr>
            </w:pPr>
            <w:r w:rsidRPr="00F844C6">
              <w:rPr>
                <w:rFonts w:cs="Arial"/>
                <w:sz w:val="16"/>
                <w:szCs w:val="16"/>
              </w:rPr>
              <w:t>HB</w:t>
            </w:r>
            <w:r>
              <w:rPr>
                <w:rFonts w:cs="Arial"/>
                <w:sz w:val="16"/>
                <w:szCs w:val="16"/>
              </w:rPr>
              <w:t>V</w:t>
            </w:r>
            <w:r w:rsidRPr="00F844C6">
              <w:rPr>
                <w:rFonts w:cs="Arial"/>
                <w:sz w:val="16"/>
                <w:szCs w:val="16"/>
              </w:rPr>
              <w:t xml:space="preserve">-Serologie bei </w:t>
            </w:r>
            <w:r>
              <w:rPr>
                <w:rFonts w:cs="Arial"/>
                <w:sz w:val="16"/>
                <w:szCs w:val="16"/>
              </w:rPr>
              <w:t>der Indexperson</w:t>
            </w:r>
            <w:r w:rsidRPr="00F844C6">
              <w:rPr>
                <w:rFonts w:cs="Arial"/>
                <w:sz w:val="16"/>
                <w:szCs w:val="16"/>
              </w:rPr>
              <w:t xml:space="preserve"> </w:t>
            </w:r>
            <w:r w:rsidRPr="00F844C6">
              <w:rPr>
                <w:rFonts w:cs="Arial"/>
                <w:b/>
                <w:sz w:val="16"/>
                <w:szCs w:val="16"/>
              </w:rPr>
              <w:t>nur</w:t>
            </w:r>
            <w:r w:rsidRPr="00F844C6">
              <w:rPr>
                <w:rFonts w:cs="Arial"/>
                <w:sz w:val="16"/>
                <w:szCs w:val="16"/>
              </w:rPr>
              <w:t>,</w:t>
            </w:r>
            <w:r w:rsidRPr="00F844C6">
              <w:rPr>
                <w:rFonts w:cs="Arial"/>
                <w:b/>
                <w:sz w:val="16"/>
                <w:szCs w:val="16"/>
              </w:rPr>
              <w:t xml:space="preserve"> </w:t>
            </w:r>
            <w:r w:rsidRPr="00F844C6">
              <w:rPr>
                <w:rFonts w:cs="Arial"/>
                <w:sz w:val="16"/>
                <w:szCs w:val="16"/>
              </w:rPr>
              <w:t xml:space="preserve">wenn </w:t>
            </w:r>
            <w:r>
              <w:rPr>
                <w:rFonts w:cs="Arial"/>
                <w:sz w:val="16"/>
                <w:szCs w:val="16"/>
              </w:rPr>
              <w:t xml:space="preserve">die ver-letzte Person </w:t>
            </w:r>
            <w:r w:rsidRPr="00F844C6">
              <w:rPr>
                <w:rFonts w:cs="Arial"/>
                <w:sz w:val="16"/>
                <w:szCs w:val="16"/>
              </w:rPr>
              <w:t>ohne sicheren HB</w:t>
            </w:r>
            <w:r>
              <w:rPr>
                <w:rFonts w:cs="Arial"/>
                <w:sz w:val="16"/>
                <w:szCs w:val="16"/>
              </w:rPr>
              <w:t>V</w:t>
            </w:r>
            <w:r w:rsidRPr="00F844C6">
              <w:rPr>
                <w:rFonts w:cs="Arial"/>
                <w:sz w:val="16"/>
                <w:szCs w:val="16"/>
              </w:rPr>
              <w:t>-Immunschutz</w:t>
            </w:r>
          </w:p>
        </w:tc>
        <w:tc>
          <w:tcPr>
            <w:tcW w:w="2268" w:type="dxa"/>
            <w:tcBorders>
              <w:top w:val="single" w:sz="4" w:space="0" w:color="auto"/>
            </w:tcBorders>
            <w:shd w:val="clear" w:color="auto" w:fill="auto"/>
          </w:tcPr>
          <w:p w:rsidR="00F13E2F" w:rsidRPr="00F844C6" w:rsidRDefault="00F13E2F" w:rsidP="00E24251">
            <w:pPr>
              <w:spacing w:after="80" w:line="240" w:lineRule="exact"/>
              <w:rPr>
                <w:rFonts w:cs="Arial"/>
                <w:b/>
                <w:sz w:val="16"/>
                <w:szCs w:val="16"/>
              </w:rPr>
            </w:pPr>
            <w:r w:rsidRPr="00F844C6">
              <w:rPr>
                <w:rFonts w:cs="Arial"/>
                <w:b/>
                <w:sz w:val="16"/>
                <w:szCs w:val="16"/>
              </w:rPr>
              <w:t>Anti-HCV</w:t>
            </w:r>
          </w:p>
          <w:p w:rsidR="00F13E2F" w:rsidRDefault="00F13E2F" w:rsidP="00E24251">
            <w:pPr>
              <w:spacing w:before="80" w:line="240" w:lineRule="exact"/>
              <w:jc w:val="both"/>
              <w:rPr>
                <w:rFonts w:cs="Arial"/>
                <w:sz w:val="16"/>
                <w:szCs w:val="16"/>
              </w:rPr>
            </w:pPr>
            <w:r w:rsidRPr="00F844C6">
              <w:rPr>
                <w:rFonts w:cs="Arial"/>
                <w:sz w:val="16"/>
                <w:szCs w:val="16"/>
              </w:rPr>
              <w:t xml:space="preserve">Falls </w:t>
            </w:r>
            <w:r>
              <w:rPr>
                <w:rFonts w:cs="Arial"/>
                <w:sz w:val="16"/>
                <w:szCs w:val="16"/>
              </w:rPr>
              <w:t>positiv</w:t>
            </w:r>
            <w:r w:rsidRPr="00F844C6">
              <w:rPr>
                <w:rFonts w:cs="Arial"/>
                <w:sz w:val="16"/>
                <w:szCs w:val="16"/>
              </w:rPr>
              <w:t xml:space="preserve"> und noch keine ausreichen</w:t>
            </w:r>
            <w:r>
              <w:rPr>
                <w:rFonts w:cs="Arial"/>
                <w:sz w:val="16"/>
                <w:szCs w:val="16"/>
              </w:rPr>
              <w:t>de antivirale Be-handlung</w:t>
            </w:r>
            <w:r w:rsidRPr="00F844C6">
              <w:rPr>
                <w:rFonts w:cs="Arial"/>
                <w:sz w:val="16"/>
                <w:szCs w:val="16"/>
              </w:rPr>
              <w:t xml:space="preserve">, dann </w:t>
            </w:r>
            <w:r>
              <w:rPr>
                <w:rFonts w:cs="Arial"/>
                <w:sz w:val="16"/>
                <w:szCs w:val="16"/>
              </w:rPr>
              <w:t>HCV-NAT</w:t>
            </w:r>
          </w:p>
          <w:p w:rsidR="00F13E2F" w:rsidRPr="00F844C6" w:rsidRDefault="00F13E2F" w:rsidP="00E24251">
            <w:pPr>
              <w:spacing w:line="240" w:lineRule="exact"/>
              <w:jc w:val="both"/>
              <w:rPr>
                <w:rFonts w:cs="Arial"/>
                <w:sz w:val="16"/>
                <w:szCs w:val="16"/>
              </w:rPr>
            </w:pPr>
            <w:r w:rsidRPr="00F844C6">
              <w:rPr>
                <w:rFonts w:cs="Arial"/>
                <w:sz w:val="16"/>
                <w:szCs w:val="16"/>
              </w:rPr>
              <w:t>Ausnahme: bei immun</w:t>
            </w:r>
            <w:r>
              <w:rPr>
                <w:rFonts w:cs="Arial"/>
                <w:sz w:val="16"/>
                <w:szCs w:val="16"/>
              </w:rPr>
              <w:t>-</w:t>
            </w:r>
            <w:r w:rsidRPr="00F844C6">
              <w:rPr>
                <w:rFonts w:cs="Arial"/>
                <w:sz w:val="16"/>
                <w:szCs w:val="16"/>
              </w:rPr>
              <w:t>defizienter I</w:t>
            </w:r>
            <w:r>
              <w:rPr>
                <w:rFonts w:cs="Arial"/>
                <w:sz w:val="16"/>
                <w:szCs w:val="16"/>
              </w:rPr>
              <w:t xml:space="preserve">ndexperson (zum Beispiel AIDS) </w:t>
            </w:r>
            <w:r w:rsidRPr="00F844C6">
              <w:rPr>
                <w:rFonts w:cs="Arial"/>
                <w:sz w:val="16"/>
                <w:szCs w:val="16"/>
              </w:rPr>
              <w:t>sofort HCV</w:t>
            </w:r>
            <w:r>
              <w:rPr>
                <w:rFonts w:cs="Arial"/>
                <w:sz w:val="16"/>
                <w:szCs w:val="16"/>
              </w:rPr>
              <w:t>-NAT</w:t>
            </w:r>
          </w:p>
        </w:tc>
        <w:tc>
          <w:tcPr>
            <w:tcW w:w="2317" w:type="dxa"/>
            <w:tcBorders>
              <w:top w:val="single" w:sz="4" w:space="0" w:color="auto"/>
            </w:tcBorders>
            <w:shd w:val="clear" w:color="auto" w:fill="auto"/>
          </w:tcPr>
          <w:p w:rsidR="00F13E2F" w:rsidRPr="00F844C6" w:rsidRDefault="00F13E2F" w:rsidP="00E24251">
            <w:pPr>
              <w:spacing w:after="80" w:line="240" w:lineRule="exact"/>
              <w:rPr>
                <w:rFonts w:cs="Arial"/>
                <w:b/>
                <w:sz w:val="16"/>
                <w:szCs w:val="16"/>
              </w:rPr>
            </w:pPr>
            <w:r w:rsidRPr="00F844C6">
              <w:rPr>
                <w:rFonts w:cs="Arial"/>
                <w:b/>
                <w:sz w:val="16"/>
                <w:szCs w:val="16"/>
              </w:rPr>
              <w:t xml:space="preserve">HIV-Screeningtest </w:t>
            </w:r>
            <w:r>
              <w:rPr>
                <w:rFonts w:cs="Arial"/>
                <w:b/>
                <w:sz w:val="16"/>
                <w:szCs w:val="16"/>
              </w:rPr>
              <w:t>4. Gen.</w:t>
            </w:r>
          </w:p>
          <w:p w:rsidR="00F13E2F" w:rsidRPr="00F844C6" w:rsidRDefault="00F13E2F" w:rsidP="00E24251">
            <w:pPr>
              <w:spacing w:after="80" w:line="240" w:lineRule="exact"/>
              <w:rPr>
                <w:rFonts w:cs="Arial"/>
                <w:sz w:val="16"/>
                <w:szCs w:val="16"/>
              </w:rPr>
            </w:pPr>
            <w:r w:rsidRPr="00F844C6">
              <w:rPr>
                <w:rFonts w:cs="Arial"/>
                <w:sz w:val="16"/>
                <w:szCs w:val="16"/>
              </w:rPr>
              <w:t>Falls positiv, Viruslast mittels HIV-</w:t>
            </w:r>
            <w:r>
              <w:rPr>
                <w:rFonts w:cs="Arial"/>
                <w:sz w:val="16"/>
                <w:szCs w:val="16"/>
              </w:rPr>
              <w:t>NAT</w:t>
            </w:r>
            <w:r w:rsidRPr="00F844C6">
              <w:rPr>
                <w:rFonts w:cs="Arial"/>
                <w:sz w:val="16"/>
                <w:szCs w:val="16"/>
              </w:rPr>
              <w:t xml:space="preserve"> ermitteln (wegen HIV-PEP)</w:t>
            </w:r>
          </w:p>
        </w:tc>
      </w:tr>
    </w:tbl>
    <w:p w:rsidR="00F13E2F" w:rsidRDefault="00F13E2F"/>
    <w:sectPr w:rsidR="00F13E2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77AC0">
      <w:pPr>
        <w:spacing w:line="240" w:lineRule="auto"/>
      </w:pPr>
      <w:r>
        <w:separator/>
      </w:r>
    </w:p>
  </w:endnote>
  <w:endnote w:type="continuationSeparator" w:id="0">
    <w:p w:rsidR="00000000" w:rsidRDefault="00677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77AC0">
      <w:pPr>
        <w:spacing w:line="240" w:lineRule="auto"/>
      </w:pPr>
      <w:r>
        <w:separator/>
      </w:r>
    </w:p>
  </w:footnote>
  <w:footnote w:type="continuationSeparator" w:id="0">
    <w:p w:rsidR="00000000" w:rsidRDefault="00677A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E2F"/>
    <w:rsid w:val="00597064"/>
    <w:rsid w:val="00677AC0"/>
    <w:rsid w:val="00716D93"/>
    <w:rsid w:val="00F13E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B1EE7C"/>
  <w15:chartTrackingRefBased/>
  <w15:docId w15:val="{0B5240E0-A136-45C3-97CE-8DC5221C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3E2F"/>
    <w:pPr>
      <w:spacing w:line="280" w:lineRule="exact"/>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97064"/>
    <w:pPr>
      <w:tabs>
        <w:tab w:val="center" w:pos="4536"/>
        <w:tab w:val="right" w:pos="9072"/>
      </w:tabs>
    </w:pPr>
  </w:style>
  <w:style w:type="character" w:customStyle="1" w:styleId="KopfzeileZchn">
    <w:name w:val="Kopfzeile Zchn"/>
    <w:basedOn w:val="Absatz-Standardschriftart"/>
    <w:link w:val="Kopfzeile"/>
    <w:rsid w:val="005970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AC57E54B.dotm</Template>
  <TotalTime>0</TotalTime>
  <Pages>1</Pages>
  <Words>310</Words>
  <Characters>1959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BGW</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Stamer</dc:creator>
  <cp:keywords/>
  <dc:description/>
  <cp:lastModifiedBy>Stranzinger Dr., Johanna</cp:lastModifiedBy>
  <cp:revision>3</cp:revision>
  <dcterms:created xsi:type="dcterms:W3CDTF">2018-01-24T09:49:00Z</dcterms:created>
  <dcterms:modified xsi:type="dcterms:W3CDTF">2018-01-24T12:17:00Z</dcterms:modified>
</cp:coreProperties>
</file>